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0681" w14:textId="77777777" w:rsidR="008F3FD7" w:rsidRDefault="008F3FD7"/>
    <w:p w14:paraId="3DBC5FC2" w14:textId="77777777" w:rsidR="008F3FD7" w:rsidRPr="008F3FD7" w:rsidRDefault="008F3FD7" w:rsidP="008F3FD7"/>
    <w:p w14:paraId="4A4ABC5C" w14:textId="77777777" w:rsidR="008F3FD7" w:rsidRPr="008F3FD7" w:rsidRDefault="008F3FD7" w:rsidP="008F3FD7"/>
    <w:p w14:paraId="78B1031E" w14:textId="77777777" w:rsidR="003A037E" w:rsidRDefault="003A037E" w:rsidP="00602B4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MS Mincho" w:hAnsi="Verdana" w:cs="Arial"/>
          <w:bCs/>
          <w:color w:val="014286"/>
          <w:kern w:val="0"/>
          <w:sz w:val="20"/>
          <w:szCs w:val="20"/>
          <w:u w:val="single"/>
          <w:lang w:eastAsia="ja-JP"/>
          <w14:ligatures w14:val="none"/>
        </w:rPr>
      </w:pPr>
    </w:p>
    <w:p w14:paraId="59CDFB3A" w14:textId="36912123" w:rsidR="00602B49" w:rsidRDefault="00511247" w:rsidP="00602B4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MS Mincho" w:hAnsi="Verdana" w:cs="Arial"/>
          <w:bCs/>
          <w:color w:val="014286"/>
          <w:kern w:val="0"/>
          <w:sz w:val="20"/>
          <w:szCs w:val="20"/>
          <w:u w:val="single"/>
          <w:lang w:eastAsia="ja-JP"/>
          <w14:ligatures w14:val="none"/>
        </w:rPr>
      </w:pPr>
      <w:r w:rsidRPr="00511247">
        <w:rPr>
          <w:rFonts w:ascii="Verdana" w:eastAsia="MS Mincho" w:hAnsi="Verdana" w:cs="Arial"/>
          <w:bCs/>
          <w:color w:val="014286"/>
          <w:kern w:val="0"/>
          <w:sz w:val="20"/>
          <w:szCs w:val="20"/>
          <w:u w:val="single"/>
          <w:lang w:eastAsia="ja-JP"/>
          <w14:ligatures w14:val="none"/>
        </w:rPr>
        <w:t>Comunicato stampa</w:t>
      </w:r>
    </w:p>
    <w:p w14:paraId="000EDFBB" w14:textId="77777777" w:rsidR="00602B49" w:rsidRDefault="00602B49" w:rsidP="00602B4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MS Mincho" w:hAnsi="Verdana" w:cs="Arial"/>
          <w:bCs/>
          <w:color w:val="014286"/>
          <w:kern w:val="0"/>
          <w:sz w:val="20"/>
          <w:szCs w:val="20"/>
          <w:u w:val="single"/>
          <w:lang w:eastAsia="ja-JP"/>
          <w14:ligatures w14:val="none"/>
        </w:rPr>
      </w:pPr>
    </w:p>
    <w:p w14:paraId="676E9517" w14:textId="2EEB8A57" w:rsidR="00A945F5" w:rsidRDefault="008117F5" w:rsidP="008117F5">
      <w:pPr>
        <w:tabs>
          <w:tab w:val="left" w:pos="5570"/>
        </w:tabs>
        <w:spacing w:after="0" w:line="240" w:lineRule="auto"/>
        <w:jc w:val="center"/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</w:pPr>
      <w:r w:rsidRPr="008117F5">
        <w:rPr>
          <w:rFonts w:ascii="Verdana" w:eastAsia="Verdana" w:hAnsi="Verdana" w:cs="Verdana"/>
          <w:b/>
          <w:bCs/>
          <w:color w:val="003492"/>
          <w:sz w:val="26"/>
          <w:szCs w:val="26"/>
        </w:rPr>
        <w:t>GIORNATA MONDIALE DEL CUORE: DALLO SCREENING AL FOLLOW-UP, LA SFIDA DOPO IL PNRR È LA PRESA IN CARICO CONTINUA DEL PAZIENTE</w:t>
      </w:r>
    </w:p>
    <w:p w14:paraId="620492D9" w14:textId="77777777" w:rsidR="00A945F5" w:rsidRDefault="00A945F5" w:rsidP="00941812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</w:pPr>
    </w:p>
    <w:p w14:paraId="6C959A18" w14:textId="597B0865" w:rsidR="00D15140" w:rsidRPr="00D15140" w:rsidRDefault="00A945F5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2C402F">
        <w:rPr>
          <w:rFonts w:ascii="Verdana" w:eastAsia="MS Mincho" w:hAnsi="Verdana" w:cs="Arial"/>
          <w:i/>
          <w:iCs/>
          <w:color w:val="014286"/>
          <w:kern w:val="0"/>
          <w:sz w:val="22"/>
          <w:szCs w:val="22"/>
          <w:lang w:eastAsia="ja-JP"/>
          <w14:ligatures w14:val="none"/>
        </w:rPr>
        <w:t xml:space="preserve">Roma, 29 settembre 2026 </w:t>
      </w:r>
      <w:r w:rsidRPr="00A945F5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–</w:t>
      </w:r>
      <w:r w:rsid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</w:t>
      </w:r>
      <w:r w:rsidR="00D15140" w:rsidRP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Conoscere i propri valori</w:t>
      </w:r>
      <w:r w:rsid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</w:t>
      </w:r>
      <w:r w:rsidR="00D15140" w:rsidRP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è un primo passo fondamentale per prevenire le malattie cardiovascolari e individuare precocemente le persone a rischio, come richiama l’Unione europea con il lancio della prima EU Screening Week, in occasione della Giornata mondiale del cuore. La sfida per l’Italia è fare in modo </w:t>
      </w:r>
      <w:r w:rsidR="004C5893" w:rsidRPr="004C5893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che a questa maggiore consapevolezza per i pa</w:t>
      </w:r>
      <w:r w:rsidR="00590F16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zienti</w:t>
      </w:r>
      <w:r w:rsidR="00D15140" w:rsidRP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corrisponda un sistema in grado di accompagnare la persona lungo tutto il percorso di cura, dalla prevenzione alla diagnosi, dal trattamento al follow-up. Per questo Confindustria Dispositivi Medici e le principali società scientifiche italiane di cardiologia – ANMCO, AIAC, GISE, </w:t>
      </w:r>
      <w:r w:rsidR="00D15140" w:rsidRPr="000D172D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ITACARE-P, SIC</w:t>
      </w:r>
      <w:r w:rsidR="00D15140" w:rsidRP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e SICVE – rilanciano la proposta di un Piano cardiovascolare nazionale, in linea con la strategia europea, per rafforzare la continuità assistenziale e ridurre la frammentazione dei percorsi di cura.</w:t>
      </w:r>
    </w:p>
    <w:p w14:paraId="42456F33" w14:textId="77777777" w:rsidR="00D15140" w:rsidRPr="00D15140" w:rsidRDefault="00D15140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7CC7C154" w14:textId="77777777" w:rsidR="00D15140" w:rsidRPr="00D15140" w:rsidRDefault="00D15140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D15140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Le malattie cardiovascolari rappresentano la prima causa di morte in Italia, con oltre il 30% dei decessi, e hanno un impatto rilevante anche sulle risorse del Servizio sanitario nazionale. I ricoveri ospedalieri per patologie cardiovascolari pesano oltre 16 miliardi di euro l’anno e si stima che circa un ricovero su quattro per scompenso cardiaco o fibrillazione atriale potrebbe essere evitato attraverso una gestione più efficace sul territorio.</w:t>
      </w:r>
    </w:p>
    <w:p w14:paraId="1650B080" w14:textId="77777777" w:rsidR="00D15140" w:rsidRPr="00D15140" w:rsidRDefault="00D15140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1854B70C" w14:textId="3EBFDCD7" w:rsidR="00D15140" w:rsidRPr="00D15140" w:rsidRDefault="00923B94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“</w:t>
      </w:r>
      <w:r w:rsidR="009D4FEF" w:rsidRPr="009D4FEF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La direzione indicata dall’Europa rappresenta un’importante occasione per rafforzare la prevenzione cardiovascolare. Ora dobbiamo fare in modo che l’intercettazione precoce del rischio si traduca in </w:t>
      </w:r>
      <w:r w:rsidR="009D4FEF" w:rsidRPr="009D4FEF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percorsi assistenziali chiari, integrati e omogenei</w:t>
      </w:r>
      <w:r w:rsidR="009D4FEF" w:rsidRPr="009D4FEF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capaci di accompagnare il paziente nel tempo. La frammentazione ancora presente tra ospedale e territorio e le differenze nell’organizzazione dell’assistenza rendono necessario rafforzare la presa in carico multidisciplinare e definire </w:t>
      </w:r>
      <w:r w:rsidR="009D4FEF" w:rsidRPr="009D4FEF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PDTA nazionali per le principali patologie cardiovascolari</w:t>
      </w:r>
      <w:r w:rsidR="009D4FEF" w:rsidRPr="009D4FEF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, così da migliorare gli esiti e ridurre i ricoveri evitabili</w:t>
      </w:r>
      <w:r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”</w:t>
      </w:r>
      <w:r w:rsidR="009D4FEF" w:rsidRPr="009D4FEF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dichiarano congiuntamente le società scientifiche </w:t>
      </w:r>
      <w:r w:rsidR="009D4FEF" w:rsidRPr="009D4FEF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ANMCO-Associazione Nazionale Medici Cardiologi Ospedalieri, AIAC-Associazione italiana di aritmologia e cardiostimolazione, GISE-Società italiana di cardiologia interventistica, ITACARE-P</w:t>
      </w:r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 </w:t>
      </w:r>
      <w:proofErr w:type="spellStart"/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Italian</w:t>
      </w:r>
      <w:proofErr w:type="spellEnd"/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 Alliance for Cardiovascular </w:t>
      </w:r>
      <w:proofErr w:type="spellStart"/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Rehabilitation</w:t>
      </w:r>
      <w:proofErr w:type="spellEnd"/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 and </w:t>
      </w:r>
      <w:proofErr w:type="spellStart"/>
      <w:r w:rsidR="009D4696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Prevention</w:t>
      </w:r>
      <w:proofErr w:type="spellEnd"/>
      <w:r w:rsidR="009D4FEF" w:rsidRPr="009D4FEF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, SIC-Società italiana di cardiologia e SICVE-Società italiana di chirurgia vascolare ed endovascolare</w:t>
      </w:r>
      <w:r w:rsidR="009D4FEF" w:rsidRPr="009D4FEF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.</w:t>
      </w:r>
    </w:p>
    <w:p w14:paraId="4681E30D" w14:textId="77777777" w:rsidR="00D15140" w:rsidRDefault="00D15140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5A23EE6E" w14:textId="77777777" w:rsidR="00380F52" w:rsidRDefault="00462113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“</w:t>
      </w:r>
      <w:r w:rsidR="00B54D56" w:rsidRPr="00462113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Nelle patologie cardiovascolari la continuità della presa in carico è fondamentale: prevenzione, diagnosi, cura e follow-up non possono essere momenti separati</w:t>
      </w:r>
      <w:r w:rsidR="00B54D56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.</w:t>
      </w:r>
      <w:r w:rsidR="00B54D56" w:rsidRPr="00462113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="00B54D56" w:rsidRPr="00462113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Il PNRR ha</w:t>
      </w:r>
      <w:r w:rsidR="00D57026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dato</w:t>
      </w:r>
      <w:r w:rsidR="00B54D56" w:rsidRPr="00462113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strumenti importanti per rafforzare l’assistenza territoriale, dalle Case della Comunità all’assistenza domiciliare, fino alle Centrali Operative Territoriali e alla telemedicina. </w:t>
      </w:r>
      <w:r w:rsidR="00B54D56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Ora </w:t>
      </w:r>
      <w:r w:rsidR="00B54D56" w:rsidRPr="00380F52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è </w:t>
      </w:r>
      <w:r w:rsidR="00E4670A" w:rsidRPr="00380F52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necessario fare un ulteriore passo e trasformare queste capacità organizzative e tecnologiche in componenti stabili</w:t>
      </w:r>
      <w:r w:rsidR="003A037E" w:rsidRPr="00380F52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</w:t>
      </w:r>
      <w:r w:rsidR="00E4670A" w:rsidRPr="00380F52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di </w:t>
      </w:r>
      <w:r w:rsidR="00E4670A" w:rsidRPr="00220DF9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modelli di presa in carico definiti e condivisi a livello nazionale</w:t>
      </w:r>
      <w:r w:rsidR="00E4670A" w:rsidRPr="004A3FA9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</w:t>
      </w:r>
      <w:r w:rsidR="00E4670A" w:rsidRPr="00E4670A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integrandole con l’attività ospedaliera e con </w:t>
      </w:r>
    </w:p>
    <w:p w14:paraId="31E6C068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77BD0E79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1B966144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6997A917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571723AC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49CE3B33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36123CF1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6DD3B484" w14:textId="77777777" w:rsidR="00380F52" w:rsidRDefault="00380F52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39D23194" w14:textId="5F102CC8" w:rsidR="00D15140" w:rsidRDefault="00E4670A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E4670A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il follow-up del paziente. In questo modo prevenzione, assistenza territoriale, ospedale, telemedicina e monitoraggio possono diventare parti di un unico percorso, con benefici per i pazienti e per la sostenibilità del sistema</w:t>
      </w:r>
      <w:r w:rsidR="004A3FA9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”</w:t>
      </w:r>
      <w:r w:rsidRPr="00E4670A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ha dichiarato </w:t>
      </w:r>
      <w:r w:rsidR="00C21BFC" w:rsidRPr="00850E78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 xml:space="preserve">Paola Pirotta, Presidente dell’associazione Assobiomedicali </w:t>
      </w:r>
      <w:r w:rsidRPr="00E4670A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di Confindustria Dispositivi Medici</w:t>
      </w:r>
      <w:r w:rsidRPr="00E4670A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>.</w:t>
      </w:r>
    </w:p>
    <w:p w14:paraId="084AA2D2" w14:textId="77777777" w:rsidR="00E4670A" w:rsidRPr="00D15140" w:rsidRDefault="00E4670A" w:rsidP="00D15140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4AB40A62" w14:textId="4B3A87A7" w:rsidR="00EB170E" w:rsidRDefault="00B547F1" w:rsidP="00A945F5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  <w:r w:rsidRPr="00B547F1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A partire da questa esigenza, il </w:t>
      </w:r>
      <w:r w:rsidRPr="00B547F1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Piano cardiovascolare per l’Italia</w:t>
      </w:r>
      <w:r w:rsidRPr="00B547F1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, proposto dalle principali società scientifiche della cardiologia insieme a Confindustria Dispositivi Medici, indica una strategia nazionale per integrare prevenzione, assistenza e presa in carico, valorizzando gli investimenti già realizzati e orientando la programmazione ai bisogni di salute. Tra le priorità, la definizione di </w:t>
      </w:r>
      <w:r w:rsidRPr="00B547F1">
        <w:rPr>
          <w:rFonts w:ascii="Verdana" w:eastAsia="MS Mincho" w:hAnsi="Verdana" w:cs="Arial"/>
          <w:b/>
          <w:bCs/>
          <w:color w:val="014286"/>
          <w:kern w:val="0"/>
          <w:sz w:val="22"/>
          <w:szCs w:val="22"/>
          <w:lang w:eastAsia="ja-JP"/>
          <w14:ligatures w14:val="none"/>
        </w:rPr>
        <w:t>PDTA nazionali chiari e omogenei</w:t>
      </w:r>
      <w:r w:rsidRPr="00B547F1"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  <w:t xml:space="preserve"> per le principali patologie cardiovascolari. Un punto di partenza esiste già: il Ministero della Salute ha sviluppato una metodologia per la valutazione dei PDTA, applicata inizialmente allo scompenso cardiaco, con indicatori di processo e di esito per monitorarne l’efficacia.</w:t>
      </w:r>
    </w:p>
    <w:p w14:paraId="15A50388" w14:textId="77777777" w:rsidR="00EB170E" w:rsidRDefault="00EB170E" w:rsidP="00A945F5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22"/>
          <w:szCs w:val="22"/>
          <w:lang w:eastAsia="ja-JP"/>
          <w14:ligatures w14:val="none"/>
        </w:rPr>
      </w:pPr>
    </w:p>
    <w:p w14:paraId="30AAAA8E" w14:textId="77777777" w:rsidR="00F66D03" w:rsidRPr="00511247" w:rsidRDefault="00F66D03" w:rsidP="00F66D03">
      <w:pPr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2"/>
          <w:szCs w:val="22"/>
          <w:u w:val="single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2"/>
          <w:szCs w:val="22"/>
          <w:u w:val="single"/>
          <w:lang w:eastAsia="ja-JP"/>
          <w14:ligatures w14:val="none"/>
        </w:rPr>
        <w:t>Focus - Piano cardiovascolare per l’Italia: le 10 priorità di sistema</w:t>
      </w:r>
    </w:p>
    <w:p w14:paraId="0F78317A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Definire un Piano nazionale cardiovascolare: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per coordinare strategie, obiettivi e interventi su tutto il territorio, in linea con le indicazioni europee.</w:t>
      </w:r>
    </w:p>
    <w:p w14:paraId="110ED62D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Rendere strutturale la prevenzione: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promuovere programmi continuativi di prevenzione primaria e secondaria, con particolare attenzione ai fattori di rischio modificabili.</w:t>
      </w:r>
    </w:p>
    <w:p w14:paraId="013B24B3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Attivare uno screening cardiovascolare diffuso e uniforme: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per individuare precocemente ipertensione, dislipidemie e diabete, riducendo le disuguaglianze regionali.</w:t>
      </w:r>
    </w:p>
    <w:p w14:paraId="54FBA687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Rafforzare l’assistenza territoriale: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valorizzando il ruolo di medici di medicina generale, farmacie e Case di Comunità nella prevenzione e nella presa in carico.</w:t>
      </w:r>
    </w:p>
    <w:p w14:paraId="553073C7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Integrare ospedale e territorio: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garantendo continuità assistenziale e modelli organizzativi condivisi per la gestione delle patologie croniche.</w:t>
      </w:r>
    </w:p>
    <w:p w14:paraId="3ED6881D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Standardizzare i percorsi di cura a livello nazionale,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attraverso PDTA omogenei per migliorare qualità, appropriatezza ed equità dell’assistenza.</w:t>
      </w:r>
    </w:p>
    <w:p w14:paraId="47308CD0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Ridurre ricoveri evitabili e accessi impropri,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potenziando la gestione dei pazienti cronici e il follow-up sul territorio.</w:t>
      </w:r>
    </w:p>
    <w:p w14:paraId="2C96DDF5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Promuovere modelli di presa in carico integrata e multidisciplinare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per una gestione più efficace e continuativa delle patologie cardiovascolari.</w:t>
      </w:r>
    </w:p>
    <w:p w14:paraId="32CDC40A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Allineare programmazione e risorse ai bisogni di salute,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superando logiche frammentate e orientando gli investimenti verso prevenzione e gestione integrata.</w:t>
      </w:r>
    </w:p>
    <w:p w14:paraId="1AE68AC7" w14:textId="77777777" w:rsidR="00F66D03" w:rsidRPr="00511247" w:rsidRDefault="00F66D03" w:rsidP="00F66D03">
      <w:pPr>
        <w:numPr>
          <w:ilvl w:val="0"/>
          <w:numId w:val="1"/>
        </w:numPr>
        <w:tabs>
          <w:tab w:val="center" w:pos="4819"/>
          <w:tab w:val="right" w:pos="9638"/>
        </w:tabs>
        <w:spacing w:before="100" w:beforeAutospacing="1" w:after="100" w:afterAutospacing="1" w:line="240" w:lineRule="auto"/>
        <w:jc w:val="both"/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</w:pPr>
      <w:r w:rsidRPr="00511247">
        <w:rPr>
          <w:rFonts w:ascii="Verdana" w:eastAsia="MS Mincho" w:hAnsi="Verdana" w:cs="Calibri"/>
          <w:b/>
          <w:bCs/>
          <w:color w:val="014286"/>
          <w:kern w:val="0"/>
          <w:sz w:val="20"/>
          <w:szCs w:val="20"/>
          <w:lang w:eastAsia="ja-JP"/>
          <w14:ligatures w14:val="none"/>
        </w:rPr>
        <w:t xml:space="preserve">Sostenere l’innovazione organizzativa e digitale, </w:t>
      </w:r>
      <w:r w:rsidRPr="00511247">
        <w:rPr>
          <w:rFonts w:ascii="Verdana" w:eastAsia="MS Mincho" w:hAnsi="Verdana" w:cs="Calibri"/>
          <w:color w:val="014286"/>
          <w:kern w:val="0"/>
          <w:sz w:val="20"/>
          <w:szCs w:val="20"/>
          <w:lang w:eastAsia="ja-JP"/>
          <w14:ligatures w14:val="none"/>
        </w:rPr>
        <w:t>utilizzando strumenti e soluzioni che facilitino screening, monitoraggio e continuità delle cure, nel rispetto dell’appropriatezza e della sostenibilità del sistema.</w:t>
      </w:r>
    </w:p>
    <w:p w14:paraId="0FB0DAB1" w14:textId="77777777" w:rsidR="00940697" w:rsidRDefault="00940697" w:rsidP="00941812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</w:pPr>
    </w:p>
    <w:p w14:paraId="55654F2D" w14:textId="77777777" w:rsidR="00940697" w:rsidRDefault="00940697" w:rsidP="00941812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</w:pPr>
    </w:p>
    <w:p w14:paraId="5BB8887E" w14:textId="0EC2773E" w:rsidR="00511247" w:rsidRPr="00511247" w:rsidRDefault="00511247" w:rsidP="00941812">
      <w:pPr>
        <w:tabs>
          <w:tab w:val="left" w:pos="5570"/>
        </w:tabs>
        <w:spacing w:after="0" w:line="240" w:lineRule="auto"/>
        <w:jc w:val="both"/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</w:pPr>
      <w:r w:rsidRPr="00511247"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  <w:t>Contatti per la stampa</w:t>
      </w:r>
      <w:r w:rsidR="00941812">
        <w:rPr>
          <w:rFonts w:ascii="Verdana" w:eastAsia="MS Mincho" w:hAnsi="Verdana" w:cs="Arial"/>
          <w:b/>
          <w:bCs/>
          <w:color w:val="014286"/>
          <w:kern w:val="0"/>
          <w:sz w:val="18"/>
          <w:szCs w:val="18"/>
          <w:lang w:eastAsia="ja-JP"/>
          <w14:ligatures w14:val="none"/>
        </w:rPr>
        <w:tab/>
      </w:r>
    </w:p>
    <w:p w14:paraId="51592EA0" w14:textId="77777777" w:rsidR="00511247" w:rsidRPr="00511247" w:rsidRDefault="00511247" w:rsidP="0051124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18"/>
          <w:szCs w:val="18"/>
          <w:u w:val="single"/>
          <w:lang w:eastAsia="ja-JP"/>
          <w14:ligatures w14:val="none"/>
        </w:rPr>
      </w:pPr>
      <w:r w:rsidRPr="00511247">
        <w:rPr>
          <w:rFonts w:ascii="Verdana" w:eastAsia="MS Mincho" w:hAnsi="Verdana" w:cs="Arial"/>
          <w:color w:val="014286"/>
          <w:kern w:val="0"/>
          <w:sz w:val="18"/>
          <w:szCs w:val="18"/>
          <w:u w:val="single"/>
          <w:lang w:eastAsia="ja-JP"/>
          <w14:ligatures w14:val="none"/>
        </w:rPr>
        <w:t xml:space="preserve">Confindustria Dispositivi Medici </w:t>
      </w:r>
    </w:p>
    <w:p w14:paraId="655E9CB2" w14:textId="77777777" w:rsidR="00511247" w:rsidRPr="00511247" w:rsidRDefault="00511247" w:rsidP="00511247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Verdana" w:eastAsia="MS Mincho" w:hAnsi="Verdana" w:cs="Arial"/>
          <w:color w:val="014286"/>
          <w:kern w:val="0"/>
          <w:sz w:val="18"/>
          <w:szCs w:val="18"/>
          <w:lang w:eastAsia="ja-JP"/>
          <w14:ligatures w14:val="none"/>
        </w:rPr>
      </w:pPr>
      <w:r w:rsidRPr="00511247">
        <w:rPr>
          <w:rFonts w:ascii="Verdana" w:eastAsia="MS Mincho" w:hAnsi="Verdana" w:cs="Arial"/>
          <w:color w:val="014286"/>
          <w:kern w:val="0"/>
          <w:sz w:val="18"/>
          <w:szCs w:val="18"/>
          <w:lang w:eastAsia="ja-JP"/>
          <w14:ligatures w14:val="none"/>
        </w:rPr>
        <w:t>Sara Robibaro – E-mail: robibaro@confindustriadm.it – mobile: 393.9976490</w:t>
      </w:r>
    </w:p>
    <w:p w14:paraId="327117FE" w14:textId="4AEA1235" w:rsidR="008F3FD7" w:rsidRPr="008F3FD7" w:rsidRDefault="008F3FD7" w:rsidP="008F3FD7">
      <w:pPr>
        <w:tabs>
          <w:tab w:val="left" w:pos="2345"/>
        </w:tabs>
      </w:pPr>
      <w:r>
        <w:tab/>
      </w:r>
    </w:p>
    <w:sectPr w:rsidR="008F3FD7" w:rsidRPr="008F3FD7" w:rsidSect="008F3F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2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AAD7" w14:textId="77777777" w:rsidR="0040777E" w:rsidRDefault="0040777E" w:rsidP="008F3FD7">
      <w:pPr>
        <w:spacing w:after="0" w:line="240" w:lineRule="auto"/>
      </w:pPr>
      <w:r>
        <w:separator/>
      </w:r>
    </w:p>
  </w:endnote>
  <w:endnote w:type="continuationSeparator" w:id="0">
    <w:p w14:paraId="0F7BC8E4" w14:textId="77777777" w:rsidR="0040777E" w:rsidRDefault="0040777E" w:rsidP="008F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ED3E" w14:textId="77777777" w:rsidR="008F3FD7" w:rsidRDefault="008F3F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1D27" w14:textId="77777777" w:rsidR="008F3FD7" w:rsidRDefault="008F3FD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9CDB" w14:textId="77777777" w:rsidR="008F3FD7" w:rsidRDefault="008F3F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77492" w14:textId="77777777" w:rsidR="0040777E" w:rsidRDefault="0040777E" w:rsidP="008F3FD7">
      <w:pPr>
        <w:spacing w:after="0" w:line="240" w:lineRule="auto"/>
      </w:pPr>
      <w:r>
        <w:separator/>
      </w:r>
    </w:p>
  </w:footnote>
  <w:footnote w:type="continuationSeparator" w:id="0">
    <w:p w14:paraId="61A0F05F" w14:textId="77777777" w:rsidR="0040777E" w:rsidRDefault="0040777E" w:rsidP="008F3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CF2A" w14:textId="6226AFD3" w:rsidR="008F3FD7" w:rsidRDefault="0040777E">
    <w:pPr>
      <w:pStyle w:val="Intestazione"/>
    </w:pPr>
    <w:r>
      <w:rPr>
        <w:noProof/>
      </w:rPr>
      <w:pict w14:anchorId="2067C3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36022" o:spid="_x0000_s1027" type="#_x0000_t75" style="position:absolute;margin-left:0;margin-top:0;width:620pt;height:877pt;z-index:-251658239;mso-wrap-edited:f;mso-position-horizontal:center;mso-position-horizontal-relative:margin;mso-position-vertical:center;mso-position-vertical-relative:margin" o:allowincell="f">
          <v:imagedata r:id="rId1" o:title="bloccoLOGHIto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6FD0" w14:textId="3CF1DC80" w:rsidR="008F3FD7" w:rsidRDefault="0040777E">
    <w:pPr>
      <w:pStyle w:val="Intestazione"/>
    </w:pPr>
    <w:r>
      <w:rPr>
        <w:noProof/>
      </w:rPr>
      <w:pict w14:anchorId="13A7C8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36023" o:spid="_x0000_s1026" type="#_x0000_t75" style="position:absolute;margin-left:0;margin-top:0;width:620pt;height:877pt;z-index:-251658238;mso-wrap-edited:f;mso-position-horizontal:center;mso-position-horizontal-relative:margin;mso-position-vertical:center;mso-position-vertical-relative:margin" o:allowincell="f">
          <v:imagedata r:id="rId1" o:title="bloccoLOGHIt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46EE" w14:textId="753B3588" w:rsidR="008F3FD7" w:rsidRDefault="0040777E">
    <w:pPr>
      <w:pStyle w:val="Intestazione"/>
    </w:pPr>
    <w:r>
      <w:rPr>
        <w:noProof/>
      </w:rPr>
      <w:pict w14:anchorId="67C3FB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736021" o:spid="_x0000_s1025" type="#_x0000_t75" style="position:absolute;margin-left:0;margin-top:0;width:620pt;height:877pt;z-index:-251658240;mso-wrap-edited:f;mso-position-horizontal:center;mso-position-horizontal-relative:margin;mso-position-vertical:center;mso-position-vertical-relative:margin" o:allowincell="f">
          <v:imagedata r:id="rId1" o:title="bloccoLOGHIto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42BCE"/>
    <w:multiLevelType w:val="multilevel"/>
    <w:tmpl w:val="55E6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2A09EE"/>
    <w:multiLevelType w:val="hybridMultilevel"/>
    <w:tmpl w:val="2FC85B5C"/>
    <w:lvl w:ilvl="0" w:tplc="6EA4F85C">
      <w:start w:val="1"/>
      <w:numFmt w:val="bullet"/>
      <w:lvlText w:val="–"/>
      <w:lvlJc w:val="left"/>
      <w:pPr>
        <w:ind w:left="360" w:hanging="260"/>
      </w:pPr>
      <w:rPr>
        <w:b/>
        <w:bCs/>
        <w:color w:val="003492"/>
      </w:rPr>
    </w:lvl>
    <w:lvl w:ilvl="1" w:tplc="AA9CBF08">
      <w:numFmt w:val="decimal"/>
      <w:lvlText w:val=""/>
      <w:lvlJc w:val="left"/>
    </w:lvl>
    <w:lvl w:ilvl="2" w:tplc="2BD27F9E">
      <w:numFmt w:val="decimal"/>
      <w:lvlText w:val=""/>
      <w:lvlJc w:val="left"/>
    </w:lvl>
    <w:lvl w:ilvl="3" w:tplc="66809B36">
      <w:numFmt w:val="decimal"/>
      <w:lvlText w:val=""/>
      <w:lvlJc w:val="left"/>
    </w:lvl>
    <w:lvl w:ilvl="4" w:tplc="D99CF382">
      <w:numFmt w:val="decimal"/>
      <w:lvlText w:val=""/>
      <w:lvlJc w:val="left"/>
    </w:lvl>
    <w:lvl w:ilvl="5" w:tplc="471C51D4">
      <w:numFmt w:val="decimal"/>
      <w:lvlText w:val=""/>
      <w:lvlJc w:val="left"/>
    </w:lvl>
    <w:lvl w:ilvl="6" w:tplc="8DA0D4BA">
      <w:numFmt w:val="decimal"/>
      <w:lvlText w:val=""/>
      <w:lvlJc w:val="left"/>
    </w:lvl>
    <w:lvl w:ilvl="7" w:tplc="7EA06156">
      <w:numFmt w:val="decimal"/>
      <w:lvlText w:val=""/>
      <w:lvlJc w:val="left"/>
    </w:lvl>
    <w:lvl w:ilvl="8" w:tplc="B7863B3A">
      <w:numFmt w:val="decimal"/>
      <w:lvlText w:val=""/>
      <w:lvlJc w:val="left"/>
    </w:lvl>
  </w:abstractNum>
  <w:num w:numId="1" w16cid:durableId="735515333">
    <w:abstractNumId w:val="0"/>
  </w:num>
  <w:num w:numId="2" w16cid:durableId="9359472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D7"/>
    <w:rsid w:val="00046480"/>
    <w:rsid w:val="00046799"/>
    <w:rsid w:val="00081271"/>
    <w:rsid w:val="000815E2"/>
    <w:rsid w:val="000D172D"/>
    <w:rsid w:val="000E3BF2"/>
    <w:rsid w:val="000F2BC7"/>
    <w:rsid w:val="001045D9"/>
    <w:rsid w:val="00112BC1"/>
    <w:rsid w:val="00167A67"/>
    <w:rsid w:val="001C524D"/>
    <w:rsid w:val="00220DF9"/>
    <w:rsid w:val="00225131"/>
    <w:rsid w:val="002A229C"/>
    <w:rsid w:val="002B626A"/>
    <w:rsid w:val="002C402F"/>
    <w:rsid w:val="00310555"/>
    <w:rsid w:val="00374877"/>
    <w:rsid w:val="00380F52"/>
    <w:rsid w:val="003A037E"/>
    <w:rsid w:val="003F0DF7"/>
    <w:rsid w:val="0040777E"/>
    <w:rsid w:val="00454AA2"/>
    <w:rsid w:val="00462113"/>
    <w:rsid w:val="004A3FA9"/>
    <w:rsid w:val="004C5893"/>
    <w:rsid w:val="00511247"/>
    <w:rsid w:val="00526EA5"/>
    <w:rsid w:val="00530C47"/>
    <w:rsid w:val="00557743"/>
    <w:rsid w:val="00557E85"/>
    <w:rsid w:val="00567639"/>
    <w:rsid w:val="00577C07"/>
    <w:rsid w:val="00590F16"/>
    <w:rsid w:val="005B365D"/>
    <w:rsid w:val="005E6B7C"/>
    <w:rsid w:val="00602B49"/>
    <w:rsid w:val="00612C33"/>
    <w:rsid w:val="00642FF0"/>
    <w:rsid w:val="0065531B"/>
    <w:rsid w:val="0066770E"/>
    <w:rsid w:val="00695F49"/>
    <w:rsid w:val="006C34A9"/>
    <w:rsid w:val="00711A44"/>
    <w:rsid w:val="00712EA8"/>
    <w:rsid w:val="007E0941"/>
    <w:rsid w:val="007E4141"/>
    <w:rsid w:val="008117F5"/>
    <w:rsid w:val="00827CCA"/>
    <w:rsid w:val="00850E78"/>
    <w:rsid w:val="008E1302"/>
    <w:rsid w:val="008F3FD7"/>
    <w:rsid w:val="00903154"/>
    <w:rsid w:val="0090512A"/>
    <w:rsid w:val="00923B94"/>
    <w:rsid w:val="00940697"/>
    <w:rsid w:val="00941812"/>
    <w:rsid w:val="009D3D0B"/>
    <w:rsid w:val="009D4696"/>
    <w:rsid w:val="009D4FEF"/>
    <w:rsid w:val="009F5945"/>
    <w:rsid w:val="00A02966"/>
    <w:rsid w:val="00A258B7"/>
    <w:rsid w:val="00A43CFB"/>
    <w:rsid w:val="00A945F5"/>
    <w:rsid w:val="00AD7371"/>
    <w:rsid w:val="00B151BF"/>
    <w:rsid w:val="00B255FB"/>
    <w:rsid w:val="00B40B4D"/>
    <w:rsid w:val="00B42ACD"/>
    <w:rsid w:val="00B547F1"/>
    <w:rsid w:val="00B54D56"/>
    <w:rsid w:val="00B91C22"/>
    <w:rsid w:val="00B946FE"/>
    <w:rsid w:val="00BE2881"/>
    <w:rsid w:val="00C0610B"/>
    <w:rsid w:val="00C128DE"/>
    <w:rsid w:val="00C21BFC"/>
    <w:rsid w:val="00C32ADC"/>
    <w:rsid w:val="00C93378"/>
    <w:rsid w:val="00C958AB"/>
    <w:rsid w:val="00CC16A5"/>
    <w:rsid w:val="00D15140"/>
    <w:rsid w:val="00D2020A"/>
    <w:rsid w:val="00D353A0"/>
    <w:rsid w:val="00D4120C"/>
    <w:rsid w:val="00D57026"/>
    <w:rsid w:val="00D644C9"/>
    <w:rsid w:val="00DA0FB2"/>
    <w:rsid w:val="00E05DEC"/>
    <w:rsid w:val="00E24473"/>
    <w:rsid w:val="00E4670A"/>
    <w:rsid w:val="00E80AE6"/>
    <w:rsid w:val="00E949B9"/>
    <w:rsid w:val="00EB170E"/>
    <w:rsid w:val="00EB553C"/>
    <w:rsid w:val="00EE07BD"/>
    <w:rsid w:val="00EF0386"/>
    <w:rsid w:val="00F275F0"/>
    <w:rsid w:val="00F64608"/>
    <w:rsid w:val="00F66D03"/>
    <w:rsid w:val="00F72428"/>
    <w:rsid w:val="00FA2BBF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0FE71"/>
  <w15:chartTrackingRefBased/>
  <w15:docId w15:val="{4C29C7EB-9C56-484B-A614-2967451C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3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3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3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3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3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3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3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3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3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3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3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3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3F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3F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3F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3F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3F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3F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3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3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3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3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3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3FD7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8F3F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3F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3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3FD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3FD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F3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FD7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8F3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FD7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602B4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2B4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B54D5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6BE3AFBFAA04096AC575AEDC422AF" ma:contentTypeVersion="18" ma:contentTypeDescription="Creare un nuovo documento." ma:contentTypeScope="" ma:versionID="c415128a030b6212dfcf92363b09120a">
  <xsd:schema xmlns:xsd="http://www.w3.org/2001/XMLSchema" xmlns:xs="http://www.w3.org/2001/XMLSchema" xmlns:p="http://schemas.microsoft.com/office/2006/metadata/properties" xmlns:ns2="a7e0fd27-a22e-4220-960e-038fc6645ee2" xmlns:ns3="52cd062c-6af9-4444-95c6-2e2c4130c841" targetNamespace="http://schemas.microsoft.com/office/2006/metadata/properties" ma:root="true" ma:fieldsID="6655cc550c90d13f80c7ed6e5a91344c" ns2:_="" ns3:_="">
    <xsd:import namespace="a7e0fd27-a22e-4220-960e-038fc6645ee2"/>
    <xsd:import namespace="52cd062c-6af9-4444-95c6-2e2c4130c8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0fd27-a22e-4220-960e-038fc6645e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203a613-aaf2-4dcc-95be-2d37cba93e2e}" ma:internalName="TaxCatchAll" ma:showField="CatchAllData" ma:web="a7e0fd27-a22e-4220-960e-038fc6645e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d062c-6af9-4444-95c6-2e2c4130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55747cf6-a0c6-4fbb-ad18-9ffa9e73c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cd062c-6af9-4444-95c6-2e2c4130c841">
      <Terms xmlns="http://schemas.microsoft.com/office/infopath/2007/PartnerControls"/>
    </lcf76f155ced4ddcb4097134ff3c332f>
    <TaxCatchAll xmlns="a7e0fd27-a22e-4220-960e-038fc6645ee2" xsi:nil="true"/>
  </documentManagement>
</p:properties>
</file>

<file path=customXml/itemProps1.xml><?xml version="1.0" encoding="utf-8"?>
<ds:datastoreItem xmlns:ds="http://schemas.openxmlformats.org/officeDocument/2006/customXml" ds:itemID="{F8642C6C-0378-4664-A647-B36242774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0fd27-a22e-4220-960e-038fc6645ee2"/>
    <ds:schemaRef ds:uri="52cd062c-6af9-4444-95c6-2e2c4130c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3AB2AB-8BF4-4DD3-9143-CB0EE0C67B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660B7-4669-4417-8A06-E8CA03933493}">
  <ds:schemaRefs>
    <ds:schemaRef ds:uri="http://schemas.microsoft.com/office/2006/metadata/properties"/>
    <ds:schemaRef ds:uri="http://schemas.microsoft.com/office/infopath/2007/PartnerControls"/>
    <ds:schemaRef ds:uri="52cd062c-6af9-4444-95c6-2e2c4130c841"/>
    <ds:schemaRef ds:uri="a7e0fd27-a22e-4220-960e-038fc6645e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888</Words>
  <Characters>5066</Characters>
  <Application>Microsoft Office Word</Application>
  <DocSecurity>0</DocSecurity>
  <Lines>42</Lines>
  <Paragraphs>11</Paragraphs>
  <ScaleCrop>false</ScaleCrop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Pierini</dc:creator>
  <cp:keywords/>
  <dc:description/>
  <cp:lastModifiedBy>Sara Robibaro (Confindustria Dispositivi Medici)</cp:lastModifiedBy>
  <cp:revision>4</cp:revision>
  <dcterms:created xsi:type="dcterms:W3CDTF">2026-09-24T15:45:00Z</dcterms:created>
  <dcterms:modified xsi:type="dcterms:W3CDTF">2026-09-28T09:16:00Z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0x0101002886BE3AFBFAA04096AC575AEDC422AF</vt:lpwstr>
  </property>
</Properties>
</file>